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D02F4">
        <w:rPr>
          <w:sz w:val="28"/>
        </w:rPr>
        <w:t>Luftballons</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D02F4" w:rsidTr="009D02F4">
        <w:tc>
          <w:tcPr>
            <w:tcW w:w="2466" w:type="dxa"/>
            <w:tcBorders>
              <w:top w:val="single" w:sz="4" w:space="0" w:color="auto"/>
            </w:tcBorders>
            <w:vAlign w:val="center"/>
          </w:tcPr>
          <w:p w:rsidR="009D02F4" w:rsidRDefault="009D02F4" w:rsidP="00337876">
            <w:pPr>
              <w:pStyle w:val="IQB-Merkmal"/>
            </w:pPr>
            <w:r>
              <w:t>Leitidee</w:t>
            </w:r>
          </w:p>
        </w:tc>
        <w:tc>
          <w:tcPr>
            <w:tcW w:w="6604" w:type="dxa"/>
            <w:tcBorders>
              <w:top w:val="single" w:sz="4" w:space="0" w:color="auto"/>
            </w:tcBorders>
          </w:tcPr>
          <w:p w:rsidR="009D02F4" w:rsidRDefault="009D02F4" w:rsidP="00337876">
            <w:pPr>
              <w:pStyle w:val="IQB-Merkmalswert"/>
            </w:pPr>
            <w:r>
              <w:t>5. Daten und Zufall</w:t>
            </w:r>
          </w:p>
        </w:tc>
      </w:tr>
      <w:tr w:rsidR="009D02F4" w:rsidTr="009D02F4">
        <w:tc>
          <w:tcPr>
            <w:tcW w:w="2466" w:type="dxa"/>
            <w:vAlign w:val="center"/>
          </w:tcPr>
          <w:p w:rsidR="009D02F4" w:rsidRDefault="009D02F4" w:rsidP="00337876">
            <w:pPr>
              <w:pStyle w:val="IQB-Merkmal"/>
            </w:pPr>
            <w:r>
              <w:t>Allgemeine Kompetenz</w:t>
            </w:r>
          </w:p>
        </w:tc>
        <w:tc>
          <w:tcPr>
            <w:tcW w:w="6604" w:type="dxa"/>
          </w:tcPr>
          <w:p w:rsidR="009D02F4" w:rsidRDefault="009D02F4" w:rsidP="00337876">
            <w:pPr>
              <w:pStyle w:val="IQB-Merkmalswert"/>
            </w:pPr>
            <w:r w:rsidRPr="00CB1B2B">
              <w:t>Mathematisches Modellieren (K3)</w:t>
            </w:r>
            <w:r>
              <w:t>,</w:t>
            </w:r>
          </w:p>
          <w:p w:rsidR="009D02F4" w:rsidRDefault="009D02F4" w:rsidP="00337876">
            <w:pPr>
              <w:pStyle w:val="IQB-Merkmalswert"/>
            </w:pPr>
            <w:r w:rsidRPr="00CB1B2B">
              <w:t>Mathematisch kommunizieren (K6)</w:t>
            </w:r>
          </w:p>
        </w:tc>
      </w:tr>
      <w:tr w:rsidR="009D02F4" w:rsidTr="009D02F4">
        <w:tc>
          <w:tcPr>
            <w:tcW w:w="2466" w:type="dxa"/>
            <w:vAlign w:val="center"/>
          </w:tcPr>
          <w:p w:rsidR="009D02F4" w:rsidRDefault="009D02F4" w:rsidP="00337876">
            <w:pPr>
              <w:pStyle w:val="IQB-Merkmal"/>
            </w:pPr>
            <w:r>
              <w:t>Anforderungsbereich</w:t>
            </w:r>
          </w:p>
        </w:tc>
        <w:tc>
          <w:tcPr>
            <w:tcW w:w="6604" w:type="dxa"/>
          </w:tcPr>
          <w:p w:rsidR="009D02F4" w:rsidRDefault="009D02F4" w:rsidP="00337876">
            <w:pPr>
              <w:pStyle w:val="IQB-Merkmalswert"/>
            </w:pPr>
            <w:r>
              <w:t>I</w:t>
            </w:r>
          </w:p>
        </w:tc>
      </w:tr>
      <w:tr w:rsidR="009D02F4" w:rsidTr="009D02F4">
        <w:tc>
          <w:tcPr>
            <w:tcW w:w="2466" w:type="dxa"/>
            <w:tcBorders>
              <w:bottom w:val="single" w:sz="4" w:space="0" w:color="auto"/>
            </w:tcBorders>
            <w:vAlign w:val="center"/>
          </w:tcPr>
          <w:p w:rsidR="009D02F4" w:rsidRDefault="009D02F4" w:rsidP="00337876">
            <w:pPr>
              <w:pStyle w:val="IQB-Merkmal"/>
            </w:pPr>
            <w:r>
              <w:t>Kompetenzstufe</w:t>
            </w:r>
          </w:p>
        </w:tc>
        <w:tc>
          <w:tcPr>
            <w:tcW w:w="6604" w:type="dxa"/>
            <w:tcBorders>
              <w:bottom w:val="single" w:sz="4" w:space="0" w:color="auto"/>
            </w:tcBorders>
          </w:tcPr>
          <w:p w:rsidR="009D02F4" w:rsidRDefault="009D02F4" w:rsidP="00337876">
            <w:pPr>
              <w:pStyle w:val="IQB-Merkmalswert"/>
            </w:pPr>
            <w:r>
              <w:t>1b</w:t>
            </w:r>
          </w:p>
        </w:tc>
      </w:tr>
    </w:tbl>
    <w:p w:rsidR="00694A63" w:rsidRPr="00694A63" w:rsidRDefault="00694A63" w:rsidP="00694A63">
      <w:pPr>
        <w:pStyle w:val="IQB-Teilaufgabentitel"/>
        <w:rPr>
          <w:b/>
        </w:rPr>
      </w:pPr>
      <w:r w:rsidRPr="00694A63">
        <w:rPr>
          <w:b/>
        </w:rPr>
        <w:t>Aufgabenbezogener Kommentar</w:t>
      </w:r>
    </w:p>
    <w:p w:rsidR="009D02F4" w:rsidRPr="00D21776" w:rsidRDefault="009D02F4" w:rsidP="009D02F4">
      <w:pPr>
        <w:pStyle w:val="IQB-Standard"/>
        <w:rPr>
          <w:sz w:val="22"/>
          <w:szCs w:val="22"/>
        </w:rPr>
      </w:pPr>
      <w:r w:rsidRPr="00D21776">
        <w:rPr>
          <w:sz w:val="22"/>
          <w:szCs w:val="22"/>
        </w:rPr>
        <w:t>Die Aufgabe gehört zur Leitidee Daten und Zufall (L5), weil hier eine Wahrscheinlichkeit ermittelt werden soll.</w:t>
      </w:r>
    </w:p>
    <w:p w:rsidR="009D02F4" w:rsidRPr="00D21776" w:rsidRDefault="009D02F4" w:rsidP="009D02F4">
      <w:pPr>
        <w:pStyle w:val="IQB-Standard"/>
        <w:rPr>
          <w:sz w:val="22"/>
          <w:szCs w:val="22"/>
        </w:rPr>
      </w:pPr>
      <w:r w:rsidRPr="00D21776">
        <w:rPr>
          <w:sz w:val="22"/>
          <w:szCs w:val="22"/>
        </w:rPr>
        <w:t>Im Aufgabentext wird eine Situation beschrieben, in der zufällig ein Luftballon aus 60 roten und 40 blauen Luftballons ausgewählt wird (K6). Die gesuchte Wahrscheinlichkeit für einen roten Ballon lässt sich über das Modell der Laplace-Wahrscheinlichkeit bestimmen (K3).</w:t>
      </w:r>
      <w:r>
        <w:rPr>
          <w:sz w:val="22"/>
          <w:szCs w:val="22"/>
        </w:rPr>
        <w:t xml:space="preserve"> </w:t>
      </w:r>
      <w:r w:rsidRPr="00D21776">
        <w:rPr>
          <w:sz w:val="22"/>
          <w:szCs w:val="22"/>
        </w:rPr>
        <w:t>Weil das mathematische Modell hier direkt erkennbar ist, handelt es sich um Anforderungsbereich I.</w:t>
      </w:r>
    </w:p>
    <w:p w:rsidR="00694A63" w:rsidRPr="00694A63" w:rsidRDefault="00694A63" w:rsidP="00694A63">
      <w:pPr>
        <w:pStyle w:val="IQB-Teilaufgabentitel"/>
        <w:rPr>
          <w:b/>
        </w:rPr>
      </w:pPr>
      <w:r w:rsidRPr="00694A63">
        <w:rPr>
          <w:b/>
        </w:rPr>
        <w:t>Anregungen für den Unterricht</w:t>
      </w:r>
    </w:p>
    <w:p w:rsidR="009D02F4" w:rsidRDefault="009D02F4" w:rsidP="009D02F4">
      <w:pPr>
        <w:pStyle w:val="IQB-Standard"/>
        <w:rPr>
          <w:sz w:val="22"/>
          <w:szCs w:val="22"/>
        </w:rPr>
      </w:pPr>
      <w:r>
        <w:rPr>
          <w:sz w:val="22"/>
          <w:szCs w:val="22"/>
        </w:rPr>
        <w:t xml:space="preserve">Wenn Schülerinnen und Schüler die Aufgabe nicht lösen konnten, lassen sich Rückschlüsse auf die zugrundeliegenden Vorstellungen wie in vielen Fällen über verbale oder schriftliche Beschreibungen der </w:t>
      </w:r>
      <w:proofErr w:type="spellStart"/>
      <w:r>
        <w:rPr>
          <w:sz w:val="22"/>
          <w:szCs w:val="22"/>
        </w:rPr>
        <w:t>Denkwege</w:t>
      </w:r>
      <w:proofErr w:type="spellEnd"/>
      <w:r>
        <w:rPr>
          <w:sz w:val="22"/>
          <w:szCs w:val="22"/>
        </w:rPr>
        <w:t xml:space="preserve"> ziehen. Ist beispielsweise der Unterschied </w:t>
      </w:r>
      <w:r w:rsidRPr="00D21776">
        <w:rPr>
          <w:sz w:val="22"/>
          <w:szCs w:val="22"/>
        </w:rPr>
        <w:t xml:space="preserve">zwischen der </w:t>
      </w:r>
      <w:proofErr w:type="spellStart"/>
      <w:r w:rsidRPr="00D21776">
        <w:rPr>
          <w:sz w:val="22"/>
          <w:szCs w:val="22"/>
        </w:rPr>
        <w:t>frequentistischen</w:t>
      </w:r>
      <w:proofErr w:type="spellEnd"/>
      <w:r w:rsidRPr="00D21776">
        <w:rPr>
          <w:sz w:val="22"/>
          <w:szCs w:val="22"/>
        </w:rPr>
        <w:t xml:space="preserve"> Vorstellung und der Laplace-Vorstellung von Wahrscheinlichkeit</w:t>
      </w:r>
      <w:r>
        <w:rPr>
          <w:sz w:val="22"/>
          <w:szCs w:val="22"/>
        </w:rPr>
        <w:t xml:space="preserve"> noch nicht bewusst, kann zunächst mit Simulationen gearbeitet werden.</w:t>
      </w:r>
    </w:p>
    <w:p w:rsidR="009D02F4" w:rsidRPr="00D21776" w:rsidRDefault="009D02F4" w:rsidP="009D02F4">
      <w:pPr>
        <w:pStyle w:val="IQB-Standard"/>
        <w:rPr>
          <w:sz w:val="22"/>
          <w:szCs w:val="22"/>
        </w:rPr>
      </w:pPr>
      <w:r w:rsidRPr="00D21776">
        <w:rPr>
          <w:sz w:val="22"/>
          <w:szCs w:val="22"/>
        </w:rPr>
        <w:t>Dabei können Anteile mit konkreten Objekten (z.</w:t>
      </w:r>
      <w:r>
        <w:rPr>
          <w:sz w:val="11"/>
          <w:szCs w:val="11"/>
        </w:rPr>
        <w:t> </w:t>
      </w:r>
      <w:r w:rsidRPr="00D21776">
        <w:rPr>
          <w:sz w:val="22"/>
          <w:szCs w:val="22"/>
        </w:rPr>
        <w:t>B. Murmeln, Legosteinen, Schülern) in Experimenten verwendet und zeichnerisch dargestellt werden (z. B. mittels eines Kreisdiagramms).  Der Vergleich dieser beiden Zugänge kann den Unterschied zwischen den beiden Vorstellungen verdeutlichen. Anschließend können Aufgaben auf rein rechnerischer und symbolischer Ebene folgen.</w:t>
      </w:r>
    </w:p>
    <w:p w:rsidR="009D02F4" w:rsidRPr="00D21776" w:rsidRDefault="009D02F4" w:rsidP="009D02F4">
      <w:pPr>
        <w:pStyle w:val="IQB-Standard"/>
        <w:rPr>
          <w:sz w:val="22"/>
          <w:szCs w:val="22"/>
        </w:rPr>
      </w:pPr>
      <w:r w:rsidRPr="00D21776">
        <w:rPr>
          <w:sz w:val="22"/>
          <w:szCs w:val="22"/>
        </w:rPr>
        <w:t xml:space="preserve">Weiterführend bieten sich kombinatorische Fragestellungen wie im zusätzlichen Aufgabenteil an. Auch hier kann aus experimentellen Erfahrungen heraus zunächst mit grafischen Darstellungen gearbeitet werden. Anhand geeigneter Abbildungen können die Erfahrungen aus den Experimenten dann systematisiert werden, um schließlich eine mathematisch-symbolische Beschreibung mit Rechenoperationen zu finden. </w:t>
      </w:r>
    </w:p>
    <w:p w:rsidR="009D02F4" w:rsidRPr="00D21776" w:rsidRDefault="009D02F4" w:rsidP="009D02F4">
      <w:pPr>
        <w:pStyle w:val="IQB-Standard"/>
        <w:rPr>
          <w:sz w:val="22"/>
          <w:szCs w:val="22"/>
        </w:rPr>
      </w:pPr>
      <w:r w:rsidRPr="00D21776">
        <w:rPr>
          <w:sz w:val="22"/>
          <w:szCs w:val="22"/>
        </w:rPr>
        <w:t xml:space="preserve">Daran anschließend kann die Situation aus der </w:t>
      </w:r>
      <w:r>
        <w:rPr>
          <w:sz w:val="22"/>
          <w:szCs w:val="22"/>
        </w:rPr>
        <w:t>A</w:t>
      </w:r>
      <w:r w:rsidRPr="00D21776">
        <w:rPr>
          <w:sz w:val="22"/>
          <w:szCs w:val="22"/>
        </w:rPr>
        <w:t>ufgabe auch genutzt werden, um den Unterschied zwischen Ziehen mit und ohne Zurücklegen zu verdeutlichen. Hier könnte zunächst mit 10 anstatt 100 Luftballons gearbeitet werden, um die Unterschiede zwischen Ziehen mit und ohne Zurücklegen deutlicher zu veranschaulichen. Gefragt werden könnte, wie sich die Wahrscheinlichkeiten für das Ziehen eines roten Luftballons ändern, wenn bereits Luftballons entnommen worden sind.</w:t>
      </w: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9D02F4" w:rsidTr="00337876">
        <w:tc>
          <w:tcPr>
            <w:tcW w:w="9286" w:type="dxa"/>
          </w:tcPr>
          <w:p w:rsidR="009D02F4" w:rsidRDefault="009D02F4" w:rsidP="00337876">
            <w:pPr>
              <w:pStyle w:val="IQB-Teilaufgabensubtitel"/>
            </w:pPr>
            <w:r>
              <w:rPr>
                <w:noProof/>
              </w:rPr>
              <w:lastRenderedPageBreak/>
              <mc:AlternateContent>
                <mc:Choice Requires="wps">
                  <w:drawing>
                    <wp:anchor distT="0" distB="0" distL="114299" distR="114299" simplePos="0" relativeHeight="251659264" behindDoc="0" locked="0" layoutInCell="1" allowOverlap="1">
                      <wp:simplePos x="0" y="0"/>
                      <wp:positionH relativeFrom="column">
                        <wp:posOffset>-121920</wp:posOffset>
                      </wp:positionH>
                      <wp:positionV relativeFrom="paragraph">
                        <wp:posOffset>-60960</wp:posOffset>
                      </wp:positionV>
                      <wp:extent cx="12065" cy="3106420"/>
                      <wp:effectExtent l="35560" t="31115" r="28575" b="34290"/>
                      <wp:wrapNone/>
                      <wp:docPr id="5" name="Freihandform: 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65" cy="3106420"/>
                              </a:xfrm>
                              <a:custGeom>
                                <a:avLst/>
                                <a:gdLst>
                                  <a:gd name="T0" fmla="*/ 5715 w 19"/>
                                  <a:gd name="T1" fmla="*/ 0 h 4892"/>
                                  <a:gd name="T2" fmla="*/ 0 w 19"/>
                                  <a:gd name="T3" fmla="*/ 2931795 h 4892"/>
                                  <a:gd name="T4" fmla="*/ 0 60000 65536"/>
                                  <a:gd name="T5" fmla="*/ 0 60000 65536"/>
                                </a:gdLst>
                                <a:ahLst/>
                                <a:cxnLst>
                                  <a:cxn ang="T4">
                                    <a:pos x="T0" y="T1"/>
                                  </a:cxn>
                                  <a:cxn ang="T5">
                                    <a:pos x="T2" y="T3"/>
                                  </a:cxn>
                                </a:cxnLst>
                                <a:rect l="0" t="0" r="r" b="b"/>
                                <a:pathLst>
                                  <a:path w="19" h="4892">
                                    <a:moveTo>
                                      <a:pt x="19" y="0"/>
                                    </a:moveTo>
                                    <a:lnTo>
                                      <a:pt x="0" y="4892"/>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05BCE4E" id="Freihandform: Form 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65pt,-4.8pt,-9.6pt,239.8pt" coordsize="19,4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" filled="f" strokecolor="#bfbfbf" strokeweight="4.5pt">
                      <v:path arrowok="t" o:connecttype="custom" o:connectlocs="3629025,0;0,1861689825" o:connectangles="0,0"/>
                    </v:polyline>
                  </w:pict>
                </mc:Fallback>
              </mc:AlternateContent>
            </w:r>
            <w:r w:rsidRPr="00D2488A">
              <w:rPr>
                <w:noProof/>
              </w:rPr>
              <w:drawing>
                <wp:inline distT="0" distB="0" distL="0" distR="0">
                  <wp:extent cx="4276725" cy="1133475"/>
                  <wp:effectExtent l="0" t="0" r="9525"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pic:cNvPicPr>
                            <a:picLocks noChangeAspect="1" noChangeArrowheads="1"/>
                          </pic:cNvPicPr>
                        </pic:nvPicPr>
                        <pic:blipFill>
                          <a:blip r:embed="rId8">
                            <a:extLst>
                              <a:ext uri="{28A0092B-C50C-407E-A947-70E740481C1C}">
                                <a14:useLocalDpi xmlns:a14="http://schemas.microsoft.com/office/drawing/2010/main" val="0"/>
                              </a:ext>
                            </a:extLst>
                          </a:blip>
                          <a:srcRect t="3043" b="29790"/>
                          <a:stretch>
                            <a:fillRect/>
                          </a:stretch>
                        </pic:blipFill>
                        <pic:spPr bwMode="auto">
                          <a:xfrm>
                            <a:off x="0" y="0"/>
                            <a:ext cx="4276725" cy="1133475"/>
                          </a:xfrm>
                          <a:prstGeom prst="rect">
                            <a:avLst/>
                          </a:prstGeom>
                          <a:noFill/>
                          <a:ln>
                            <a:noFill/>
                          </a:ln>
                        </pic:spPr>
                      </pic:pic>
                    </a:graphicData>
                  </a:graphic>
                </wp:inline>
              </w:drawing>
            </w:r>
          </w:p>
          <w:p w:rsidR="009D02F4" w:rsidRDefault="009D02F4" w:rsidP="00337876">
            <w:pPr>
              <w:pStyle w:val="IQB-Teilaufgabensubtitel"/>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27"/>
            </w:tblGrid>
            <w:tr w:rsidR="009D02F4" w:rsidTr="00337876">
              <w:tc>
                <w:tcPr>
                  <w:tcW w:w="1133" w:type="dxa"/>
                  <w:tcBorders>
                    <w:top w:val="single" w:sz="4" w:space="0" w:color="auto"/>
                    <w:left w:val="single" w:sz="4" w:space="0" w:color="auto"/>
                    <w:bottom w:val="single" w:sz="4" w:space="0" w:color="auto"/>
                    <w:right w:val="dotted" w:sz="4" w:space="0" w:color="auto"/>
                  </w:tcBorders>
                  <w:vAlign w:val="center"/>
                </w:tcPr>
                <w:p w:rsidR="009D02F4" w:rsidRDefault="009D02F4" w:rsidP="00337876">
                  <w:pPr>
                    <w:pStyle w:val="IQB-RSCodeValue"/>
                  </w:pPr>
                  <w:r>
                    <w:t>RICHTIG</w:t>
                  </w:r>
                </w:p>
              </w:tc>
              <w:tc>
                <w:tcPr>
                  <w:tcW w:w="7937" w:type="dxa"/>
                  <w:tcBorders>
                    <w:top w:val="single" w:sz="4" w:space="0" w:color="auto"/>
                    <w:left w:val="dotted" w:sz="4" w:space="0" w:color="auto"/>
                    <w:bottom w:val="single" w:sz="4" w:space="0" w:color="auto"/>
                    <w:right w:val="single" w:sz="4" w:space="0" w:color="auto"/>
                  </w:tcBorders>
                </w:tcPr>
                <w:p w:rsidR="009D02F4" w:rsidRDefault="009D02F4" w:rsidP="00337876">
                  <w:pPr>
                    <w:pStyle w:val="IQB-RSNormal"/>
                  </w:pPr>
                  <w:r>
                    <w:t>3. Kästchen wurde angekreuzt</w:t>
                  </w:r>
                </w:p>
              </w:tc>
            </w:tr>
          </w:tbl>
          <w:p w:rsidR="009D02F4" w:rsidRDefault="009D02F4" w:rsidP="00337876">
            <w:pPr>
              <w:pStyle w:val="IQB-Teilaufgabensubtitel"/>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5"/>
              <w:gridCol w:w="6595"/>
            </w:tblGrid>
            <w:tr w:rsidR="009D02F4" w:rsidTr="00337876">
              <w:tc>
                <w:tcPr>
                  <w:tcW w:w="2465" w:type="dxa"/>
                  <w:tcBorders>
                    <w:top w:val="single" w:sz="4" w:space="0" w:color="auto"/>
                    <w:left w:val="single" w:sz="4" w:space="0" w:color="auto"/>
                    <w:bottom w:val="dotted" w:sz="4" w:space="0" w:color="auto"/>
                    <w:right w:val="dotted" w:sz="4" w:space="0" w:color="auto"/>
                  </w:tcBorders>
                  <w:vAlign w:val="center"/>
                </w:tcPr>
                <w:p w:rsidR="009D02F4" w:rsidRDefault="009D02F4" w:rsidP="00337876">
                  <w:pPr>
                    <w:pStyle w:val="IQB-Merkmal"/>
                  </w:pPr>
                  <w:r>
                    <w:t>Leitidee</w:t>
                  </w:r>
                </w:p>
              </w:tc>
              <w:tc>
                <w:tcPr>
                  <w:tcW w:w="6595" w:type="dxa"/>
                  <w:tcBorders>
                    <w:top w:val="single" w:sz="4" w:space="0" w:color="auto"/>
                    <w:left w:val="dotted" w:sz="4" w:space="0" w:color="auto"/>
                    <w:bottom w:val="dotted" w:sz="4" w:space="0" w:color="auto"/>
                    <w:right w:val="single" w:sz="4" w:space="0" w:color="auto"/>
                  </w:tcBorders>
                </w:tcPr>
                <w:p w:rsidR="009D02F4" w:rsidRDefault="009D02F4" w:rsidP="00337876">
                  <w:pPr>
                    <w:pStyle w:val="IQB-Merkmalswert"/>
                  </w:pPr>
                  <w:r>
                    <w:t>1. Zahl</w:t>
                  </w:r>
                </w:p>
              </w:tc>
            </w:tr>
            <w:tr w:rsidR="009D02F4" w:rsidTr="00337876">
              <w:tc>
                <w:tcPr>
                  <w:tcW w:w="2465" w:type="dxa"/>
                  <w:tcBorders>
                    <w:top w:val="dotted" w:sz="4" w:space="0" w:color="auto"/>
                    <w:left w:val="single" w:sz="4" w:space="0" w:color="auto"/>
                    <w:bottom w:val="dotted" w:sz="4" w:space="0" w:color="auto"/>
                    <w:right w:val="dotted" w:sz="4" w:space="0" w:color="auto"/>
                  </w:tcBorders>
                  <w:vAlign w:val="center"/>
                </w:tcPr>
                <w:p w:rsidR="009D02F4" w:rsidRDefault="009D02F4" w:rsidP="00337876">
                  <w:pPr>
                    <w:pStyle w:val="IQB-Merkmal"/>
                  </w:pPr>
                  <w:r>
                    <w:t>Allgemeine Kompetenz</w:t>
                  </w:r>
                </w:p>
              </w:tc>
              <w:tc>
                <w:tcPr>
                  <w:tcW w:w="6595" w:type="dxa"/>
                  <w:tcBorders>
                    <w:top w:val="dotted" w:sz="4" w:space="0" w:color="auto"/>
                    <w:left w:val="dotted" w:sz="4" w:space="0" w:color="auto"/>
                    <w:bottom w:val="dotted" w:sz="4" w:space="0" w:color="auto"/>
                    <w:right w:val="single" w:sz="4" w:space="0" w:color="auto"/>
                  </w:tcBorders>
                </w:tcPr>
                <w:p w:rsidR="009D02F4" w:rsidRDefault="009D02F4" w:rsidP="00337876">
                  <w:pPr>
                    <w:pStyle w:val="IQB-Merkmalswert"/>
                  </w:pPr>
                  <w:r>
                    <w:t>Mathematisches Modellieren (K3),</w:t>
                  </w:r>
                </w:p>
                <w:p w:rsidR="009D02F4" w:rsidRDefault="009D02F4" w:rsidP="00337876">
                  <w:pPr>
                    <w:pStyle w:val="IQB-Merkmalswert"/>
                  </w:pPr>
                  <w:r>
                    <w:t>Mathematisch kommunizieren (K6)</w:t>
                  </w:r>
                </w:p>
              </w:tc>
            </w:tr>
            <w:tr w:rsidR="009D02F4" w:rsidTr="00337876">
              <w:tc>
                <w:tcPr>
                  <w:tcW w:w="2465" w:type="dxa"/>
                  <w:tcBorders>
                    <w:top w:val="dotted" w:sz="4" w:space="0" w:color="auto"/>
                    <w:left w:val="single" w:sz="4" w:space="0" w:color="auto"/>
                    <w:bottom w:val="dotted" w:sz="4" w:space="0" w:color="auto"/>
                    <w:right w:val="dotted" w:sz="4" w:space="0" w:color="auto"/>
                  </w:tcBorders>
                  <w:vAlign w:val="center"/>
                </w:tcPr>
                <w:p w:rsidR="009D02F4" w:rsidRDefault="009D02F4" w:rsidP="00337876">
                  <w:pPr>
                    <w:pStyle w:val="IQB-Merkmal"/>
                  </w:pPr>
                  <w:r>
                    <w:t>Anforderungsbereich</w:t>
                  </w:r>
                </w:p>
              </w:tc>
              <w:tc>
                <w:tcPr>
                  <w:tcW w:w="6595" w:type="dxa"/>
                  <w:tcBorders>
                    <w:top w:val="dotted" w:sz="4" w:space="0" w:color="auto"/>
                    <w:left w:val="dotted" w:sz="4" w:space="0" w:color="auto"/>
                    <w:bottom w:val="dotted" w:sz="4" w:space="0" w:color="auto"/>
                    <w:right w:val="single" w:sz="4" w:space="0" w:color="auto"/>
                  </w:tcBorders>
                </w:tcPr>
                <w:p w:rsidR="009D02F4" w:rsidRDefault="009D02F4" w:rsidP="00337876">
                  <w:pPr>
                    <w:pStyle w:val="IQB-Merkmalswert"/>
                  </w:pPr>
                  <w:r>
                    <w:t>I</w:t>
                  </w:r>
                </w:p>
              </w:tc>
            </w:tr>
            <w:tr w:rsidR="009D02F4" w:rsidTr="00337876">
              <w:tc>
                <w:tcPr>
                  <w:tcW w:w="2465" w:type="dxa"/>
                  <w:tcBorders>
                    <w:top w:val="dotted" w:sz="4" w:space="0" w:color="auto"/>
                    <w:left w:val="single" w:sz="4" w:space="0" w:color="auto"/>
                    <w:bottom w:val="single" w:sz="4" w:space="0" w:color="auto"/>
                    <w:right w:val="dotted" w:sz="4" w:space="0" w:color="auto"/>
                  </w:tcBorders>
                  <w:vAlign w:val="center"/>
                </w:tcPr>
                <w:p w:rsidR="009D02F4" w:rsidRDefault="009D02F4" w:rsidP="00337876">
                  <w:pPr>
                    <w:pStyle w:val="IQB-Merkmal"/>
                  </w:pPr>
                  <w:r>
                    <w:t>Kompetenzstufe</w:t>
                  </w:r>
                </w:p>
              </w:tc>
              <w:tc>
                <w:tcPr>
                  <w:tcW w:w="6595" w:type="dxa"/>
                  <w:tcBorders>
                    <w:top w:val="dotted" w:sz="4" w:space="0" w:color="auto"/>
                    <w:left w:val="dotted" w:sz="4" w:space="0" w:color="auto"/>
                    <w:bottom w:val="single" w:sz="4" w:space="0" w:color="auto"/>
                    <w:right w:val="single" w:sz="4" w:space="0" w:color="auto"/>
                  </w:tcBorders>
                </w:tcPr>
                <w:p w:rsidR="009D02F4" w:rsidRDefault="009D02F4" w:rsidP="00337876">
                  <w:pPr>
                    <w:pStyle w:val="IQB-Merkmalswert"/>
                  </w:pPr>
                  <w:r>
                    <w:t>3</w:t>
                  </w:r>
                </w:p>
              </w:tc>
            </w:tr>
          </w:tbl>
          <w:p w:rsidR="009D02F4" w:rsidRDefault="009D02F4" w:rsidP="00337876">
            <w:pPr>
              <w:pStyle w:val="IQB-Teilaufgabentitel"/>
            </w:pPr>
          </w:p>
        </w:tc>
      </w:tr>
    </w:tbl>
    <w:p w:rsidR="00694A63" w:rsidRPr="00DC2FA0" w:rsidRDefault="00694A63" w:rsidP="00A20151">
      <w:pPr>
        <w:pStyle w:val="IQB-Standard"/>
        <w:rPr>
          <w:sz w:val="18"/>
          <w:szCs w:val="22"/>
        </w:rPr>
      </w:pPr>
    </w:p>
    <w:sectPr w:rsidR="00694A63" w:rsidRPr="00DC2FA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AB925AB8-BC92-4968-9769-9C1C61CEFE52}"/>
    <w:embedBold r:id="rId2" w:fontKey="{F2455C41-0EE8-4F67-AFDF-E51FE2DF4949}"/>
    <w:embedBoldItalic r:id="rId3" w:fontKey="{3AC85CAE-5182-425D-84A0-CBC2E6F78CD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C4D073D"/>
    <w:multiLevelType w:val="hybridMultilevel"/>
    <w:tmpl w:val="DA547F7C"/>
    <w:lvl w:ilvl="0" w:tplc="8A8ECE0E">
      <w:start w:val="1"/>
      <w:numFmt w:val="decimal"/>
      <w:pStyle w:val="Nummerierung"/>
      <w:lvlText w:val="%1."/>
      <w:lvlJc w:val="left"/>
      <w:pPr>
        <w:tabs>
          <w:tab w:val="num" w:pos="340"/>
        </w:tabs>
        <w:ind w:left="340" w:hanging="34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
  </w:num>
  <w:num w:numId="3">
    <w:abstractNumId w:val="0"/>
  </w:num>
  <w:num w:numId="4">
    <w:abstractNumId w:val="8"/>
  </w:num>
  <w:num w:numId="5">
    <w:abstractNumId w:val="4"/>
  </w:num>
  <w:num w:numId="6">
    <w:abstractNumId w:val="6"/>
  </w:num>
  <w:num w:numId="7">
    <w:abstractNumId w:val="3"/>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02F4"/>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C2FA0"/>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66DA8D6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Nummerierung">
    <w:name w:val="Nummerierung"/>
    <w:basedOn w:val="Standard"/>
    <w:rsid w:val="009D02F4"/>
    <w:pPr>
      <w:numPr>
        <w:numId w:val="9"/>
      </w:numPr>
      <w:spacing w:before="50"/>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379E45-E7B2-45CE-B7DD-B2A0BFA15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320</Words>
  <Characters>2292</Characters>
  <Application>Microsoft Office Word</Application>
  <DocSecurity>0</DocSecurity>
  <Lines>60</Lines>
  <Paragraphs>42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2025-06-03T13:09:00Z</dcterms:created>
  <dcterms:modified xsi:type="dcterms:W3CDTF">2025-06-03T13:09:00Z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